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 w:firstLine="567" w:left="0"/>
        <w:jc w:val="center"/>
        <w:rPr>
          <w:b w:val="1"/>
          <w:sz w:val="28"/>
        </w:rPr>
      </w:pPr>
      <w:r>
        <w:rPr>
          <w:b w:val="1"/>
          <w:sz w:val="28"/>
        </w:rPr>
        <w:t>РОССИЙСКАЯ  ФЕДЕРАЦИЯ</w:t>
      </w:r>
    </w:p>
    <w:p w14:paraId="02000000">
      <w:pPr>
        <w:ind w:firstLine="567" w:left="0"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  ЗИМОВНИКОВСКИЙ РАЙОН</w:t>
      </w:r>
    </w:p>
    <w:p w14:paraId="03000000">
      <w:pPr>
        <w:ind w:firstLine="567" w:left="0"/>
        <w:jc w:val="center"/>
        <w:rPr>
          <w:b w:val="1"/>
          <w:sz w:val="28"/>
        </w:rPr>
      </w:pPr>
      <w:r>
        <w:rPr>
          <w:b w:val="1"/>
          <w:sz w:val="28"/>
        </w:rPr>
        <w:t>АДМИНИСТРАЦИЯ СЕВЕРНОГО СЕЛЬСКОГО ПОСЕЛЕНИЯ</w:t>
      </w:r>
    </w:p>
    <w:p w14:paraId="04000000">
      <w:pPr>
        <w:ind/>
        <w:jc w:val="center"/>
        <w:rPr>
          <w:b w:val="1"/>
          <w:sz w:val="28"/>
        </w:rPr>
      </w:pPr>
    </w:p>
    <w:p w14:paraId="05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ПОСТАНОВЛЕНИЕ</w:t>
      </w:r>
    </w:p>
    <w:p w14:paraId="06000000">
      <w:pPr>
        <w:ind/>
        <w:jc w:val="center"/>
        <w:rPr>
          <w:b w:val="1"/>
          <w:sz w:val="28"/>
        </w:rPr>
      </w:pPr>
    </w:p>
    <w:p w14:paraId="07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№ 117</w:t>
      </w: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18 декабря</w:t>
      </w:r>
      <w:r>
        <w:rPr>
          <w:b w:val="1"/>
          <w:sz w:val="28"/>
        </w:rPr>
        <w:t xml:space="preserve"> 202</w:t>
      </w:r>
      <w:r>
        <w:rPr>
          <w:b w:val="1"/>
          <w:sz w:val="28"/>
        </w:rPr>
        <w:t>4  года                                                                          х. Гашун</w:t>
      </w:r>
    </w:p>
    <w:p w14:paraId="09000000">
      <w:pPr>
        <w:tabs>
          <w:tab w:leader="none" w:pos="5103" w:val="center"/>
          <w:tab w:leader="none" w:pos="9180" w:val="left"/>
        </w:tabs>
        <w:ind/>
        <w:rPr>
          <w:sz w:val="28"/>
        </w:rPr>
      </w:pPr>
    </w:p>
    <w:p w14:paraId="0A000000">
      <w:pPr>
        <w:pStyle w:val="Style_1"/>
        <w:tabs>
          <w:tab w:leader="none" w:pos="4476" w:val="left"/>
        </w:tabs>
        <w:spacing w:after="0" w:line="240" w:lineRule="auto"/>
        <w:ind w:right="4109"/>
        <w:jc w:val="both"/>
        <w:rPr>
          <w:rFonts w:ascii="Times New Roman" w:hAnsi="Times New Roman"/>
          <w:color w:val="000000"/>
          <w:sz w:val="24"/>
        </w:rPr>
      </w:pPr>
    </w:p>
    <w:p w14:paraId="0B000000">
      <w:pPr>
        <w:pStyle w:val="Style_1"/>
        <w:spacing w:after="0" w:line="240" w:lineRule="auto"/>
        <w:ind w:right="4109"/>
        <w:jc w:val="both"/>
        <w:rPr>
          <w:rFonts w:ascii="Times New Roman" w:hAnsi="Times New Roman"/>
          <w:color w:val="000000"/>
          <w:sz w:val="24"/>
        </w:rPr>
      </w:pPr>
    </w:p>
    <w:p w14:paraId="0C000000">
      <w:pPr>
        <w:pStyle w:val="Style_1"/>
        <w:spacing w:after="0" w:line="240" w:lineRule="auto"/>
        <w:ind w:right="4109"/>
        <w:jc w:val="both"/>
        <w:rPr>
          <w:rFonts w:ascii="Times New Roman" w:hAnsi="Times New Roman"/>
          <w:color w:val="212121"/>
          <w:sz w:val="28"/>
        </w:rPr>
      </w:pPr>
      <w:r>
        <w:rPr>
          <w:rFonts w:ascii="Times New Roman" w:hAnsi="Times New Roman"/>
          <w:color w:val="000000"/>
          <w:sz w:val="28"/>
        </w:rPr>
        <w:t>Об утверждении Программы профилактики рисков причинения вреда (ущерба) охраняемым законом ценностям на 202</w:t>
      </w:r>
      <w:r>
        <w:rPr>
          <w:rFonts w:ascii="Times New Roman" w:hAnsi="Times New Roman"/>
          <w:color w:val="000000"/>
          <w:sz w:val="28"/>
        </w:rPr>
        <w:t>5</w:t>
      </w:r>
      <w:r>
        <w:rPr>
          <w:rFonts w:ascii="Times New Roman" w:hAnsi="Times New Roman"/>
          <w:color w:val="000000"/>
          <w:sz w:val="28"/>
        </w:rPr>
        <w:t xml:space="preserve"> год в рамках муниципального контроля в сфере благоустройства на территории </w:t>
      </w:r>
      <w:r>
        <w:rPr>
          <w:rFonts w:ascii="Times New Roman" w:hAnsi="Times New Roman"/>
          <w:color w:val="000000"/>
          <w:sz w:val="28"/>
        </w:rPr>
        <w:t>Северного</w:t>
      </w:r>
      <w:r>
        <w:rPr>
          <w:rFonts w:ascii="Times New Roman" w:hAnsi="Times New Roman"/>
          <w:color w:val="000000"/>
          <w:sz w:val="28"/>
        </w:rPr>
        <w:t xml:space="preserve"> сельского поселения</w:t>
      </w:r>
    </w:p>
    <w:p w14:paraId="0D000000">
      <w:pPr>
        <w:pStyle w:val="Style_1"/>
        <w:spacing w:after="0" w:line="240" w:lineRule="auto"/>
        <w:ind/>
        <w:jc w:val="both"/>
        <w:rPr>
          <w:rFonts w:ascii="Times New Roman" w:hAnsi="Times New Roman"/>
          <w:color w:val="212121"/>
          <w:sz w:val="28"/>
        </w:rPr>
      </w:pPr>
    </w:p>
    <w:p w14:paraId="0E000000">
      <w:pPr>
        <w:spacing w:line="228" w:lineRule="auto"/>
        <w:ind/>
        <w:jc w:val="both"/>
        <w:rPr>
          <w:sz w:val="28"/>
        </w:rPr>
      </w:pPr>
      <w:r>
        <w:rPr>
          <w:color w:val="000000"/>
          <w:sz w:val="28"/>
        </w:rPr>
        <w:t xml:space="preserve">     </w:t>
      </w:r>
      <w:r>
        <w:rPr>
          <w:color w:val="000000"/>
          <w:sz w:val="28"/>
        </w:rPr>
        <w:t xml:space="preserve">Руководствуясь Постановлением Правительства РФ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>
        <w:rPr>
          <w:sz w:val="28"/>
        </w:rPr>
        <w:t>руководствуясь подпунктом 11 пункта 2  статьи 34</w:t>
      </w:r>
      <w:r>
        <w:rPr>
          <w:sz w:val="28"/>
          <w:vertAlign w:val="superscript"/>
        </w:rPr>
        <w:t xml:space="preserve">  </w:t>
      </w:r>
      <w:r>
        <w:rPr>
          <w:sz w:val="28"/>
        </w:rPr>
        <w:t>Устава Муниципального образования  «Северное сельское поселение»</w:t>
      </w:r>
    </w:p>
    <w:p w14:paraId="0F000000">
      <w:pPr>
        <w:ind w:firstLine="709" w:left="0"/>
        <w:jc w:val="center"/>
        <w:rPr>
          <w:sz w:val="28"/>
        </w:rPr>
      </w:pPr>
      <w:r>
        <w:rPr>
          <w:sz w:val="28"/>
        </w:rPr>
        <w:t>ПОСТАНОВЛЯЮ:</w:t>
      </w:r>
    </w:p>
    <w:p w14:paraId="10000000">
      <w:pPr>
        <w:ind w:firstLine="709" w:left="0"/>
        <w:jc w:val="center"/>
        <w:rPr>
          <w:sz w:val="28"/>
        </w:rPr>
      </w:pPr>
    </w:p>
    <w:p w14:paraId="11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1. Утвердить Программу профилактики рисков причинения вреда (ущерба) охраняемым законом ценностям на 202</w:t>
      </w:r>
      <w:r>
        <w:rPr>
          <w:color w:val="000000"/>
          <w:sz w:val="28"/>
        </w:rPr>
        <w:t>5</w:t>
      </w:r>
      <w:r>
        <w:rPr>
          <w:color w:val="000000"/>
          <w:sz w:val="28"/>
        </w:rPr>
        <w:t xml:space="preserve"> год в рамках муниципального контроля в сфере благоустройства на территории </w:t>
      </w:r>
      <w:r>
        <w:rPr>
          <w:color w:val="000000"/>
          <w:sz w:val="28"/>
        </w:rPr>
        <w:t>Северного</w:t>
      </w:r>
      <w:r>
        <w:rPr>
          <w:color w:val="000000"/>
          <w:sz w:val="28"/>
        </w:rPr>
        <w:t xml:space="preserve"> сельского поселения.</w:t>
      </w:r>
    </w:p>
    <w:p w14:paraId="12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 Настоящее постановление разместить на официальном сайте </w:t>
      </w:r>
      <w:r>
        <w:rPr>
          <w:color w:val="000000"/>
          <w:sz w:val="28"/>
        </w:rPr>
        <w:t>Северного</w:t>
      </w:r>
      <w:r>
        <w:rPr>
          <w:color w:val="000000"/>
          <w:sz w:val="28"/>
        </w:rPr>
        <w:t xml:space="preserve"> сельского поселения.</w:t>
      </w:r>
    </w:p>
    <w:p w14:paraId="13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3. Контроль за исполнением настоящего постановления оставляю за собой.</w:t>
      </w:r>
    </w:p>
    <w:p w14:paraId="14000000">
      <w:pPr>
        <w:pStyle w:val="Style_1"/>
        <w:tabs>
          <w:tab w:leader="none" w:pos="993" w:val="left"/>
        </w:tabs>
        <w:spacing w:after="0" w:line="264" w:lineRule="auto"/>
        <w:ind w:firstLine="0" w:left="709"/>
        <w:jc w:val="both"/>
        <w:rPr>
          <w:rFonts w:ascii="Times New Roman" w:hAnsi="Times New Roman"/>
          <w:sz w:val="28"/>
        </w:rPr>
      </w:pPr>
    </w:p>
    <w:p w14:paraId="15000000">
      <w:pPr>
        <w:ind w:firstLine="0" w:left="5103"/>
        <w:jc w:val="both"/>
      </w:pPr>
    </w:p>
    <w:p w14:paraId="16000000"/>
    <w:p w14:paraId="17000000">
      <w:pPr>
        <w:ind w:firstLine="0" w:left="5103"/>
        <w:jc w:val="both"/>
      </w:pPr>
    </w:p>
    <w:p w14:paraId="18000000">
      <w:pPr>
        <w:widowControl w:val="0"/>
        <w:ind/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14:paraId="19000000">
      <w:pPr>
        <w:widowControl w:val="0"/>
        <w:tabs>
          <w:tab w:leader="none" w:pos="10263" w:val="right"/>
        </w:tabs>
        <w:ind/>
        <w:jc w:val="both"/>
        <w:rPr>
          <w:color w:val="000000"/>
          <w:sz w:val="28"/>
        </w:rPr>
      </w:pPr>
      <w:r>
        <w:rPr>
          <w:sz w:val="28"/>
        </w:rPr>
        <w:t>Северного</w:t>
      </w:r>
      <w:r>
        <w:rPr>
          <w:sz w:val="28"/>
        </w:rPr>
        <w:t xml:space="preserve"> сельского поселения</w:t>
      </w:r>
      <w:r>
        <w:rPr>
          <w:color w:val="000000"/>
          <w:sz w:val="28"/>
        </w:rPr>
        <w:t xml:space="preserve">                         </w:t>
      </w:r>
      <w:r>
        <w:rPr>
          <w:color w:val="000000"/>
          <w:sz w:val="28"/>
        </w:rPr>
        <w:t xml:space="preserve">  </w:t>
      </w:r>
      <w:r>
        <w:rPr>
          <w:color w:val="000000"/>
          <w:sz w:val="28"/>
        </w:rPr>
        <w:t xml:space="preserve">            Л.А.Калиберда</w:t>
      </w:r>
    </w:p>
    <w:p w14:paraId="1A000000">
      <w:pPr>
        <w:ind/>
        <w:jc w:val="both"/>
      </w:pPr>
    </w:p>
    <w:p w14:paraId="1B000000">
      <w:pPr>
        <w:ind w:firstLine="0" w:left="5103"/>
        <w:jc w:val="right"/>
      </w:pPr>
      <w:r>
        <w:br w:type="page"/>
      </w:r>
      <w:r>
        <w:t xml:space="preserve">Приложение </w:t>
      </w:r>
    </w:p>
    <w:p w14:paraId="1C000000">
      <w:pPr>
        <w:ind w:firstLine="0" w:left="5103"/>
        <w:jc w:val="right"/>
      </w:pPr>
      <w:r>
        <w:t>к постановлению</w:t>
      </w:r>
      <w:r>
        <w:t xml:space="preserve"> администрации </w:t>
      </w:r>
      <w:r>
        <w:t>Северного</w:t>
      </w:r>
      <w:r>
        <w:t xml:space="preserve"> сельского поселения </w:t>
      </w:r>
      <w:r>
        <w:t xml:space="preserve"> от </w:t>
      </w:r>
      <w:r>
        <w:t>18.12</w:t>
      </w:r>
      <w:r>
        <w:t>.2024</w:t>
      </w:r>
      <w:r>
        <w:t xml:space="preserve"> </w:t>
      </w:r>
      <w:r>
        <w:t>г</w:t>
      </w:r>
      <w:r>
        <w:t xml:space="preserve"> </w:t>
      </w:r>
      <w:r>
        <w:t xml:space="preserve"> </w:t>
      </w:r>
      <w:r>
        <w:t xml:space="preserve">№ </w:t>
      </w:r>
      <w:r>
        <w:t>117</w:t>
      </w:r>
    </w:p>
    <w:p w14:paraId="1D000000">
      <w:pPr>
        <w:ind/>
        <w:jc w:val="center"/>
      </w:pPr>
    </w:p>
    <w:p w14:paraId="1E000000">
      <w:pPr>
        <w:pStyle w:val="Style_2"/>
        <w:spacing w:after="0" w:before="0"/>
        <w:ind/>
        <w:jc w:val="center"/>
        <w:rPr>
          <w:color w:val="000000"/>
          <w:sz w:val="28"/>
        </w:rPr>
      </w:pPr>
      <w:r>
        <w:rPr>
          <w:color w:val="000000"/>
          <w:sz w:val="28"/>
        </w:rPr>
        <w:t>Программа профилактики рисков причинения вреда (ущерба) охраняемым законом ценностям на 202</w:t>
      </w:r>
      <w:r>
        <w:rPr>
          <w:color w:val="000000"/>
          <w:sz w:val="28"/>
        </w:rPr>
        <w:t>5</w:t>
      </w:r>
      <w:r>
        <w:rPr>
          <w:color w:val="000000"/>
          <w:sz w:val="28"/>
        </w:rPr>
        <w:t xml:space="preserve"> год в рамках муниципального контроля в сфере благоустройства на территории </w:t>
      </w:r>
      <w:r>
        <w:rPr>
          <w:color w:val="000000"/>
          <w:sz w:val="28"/>
        </w:rPr>
        <w:t>Северного</w:t>
      </w:r>
      <w:r>
        <w:rPr>
          <w:color w:val="000000"/>
          <w:sz w:val="28"/>
        </w:rPr>
        <w:t xml:space="preserve"> сельского поселения</w:t>
      </w:r>
    </w:p>
    <w:p w14:paraId="1F000000">
      <w:pPr>
        <w:pStyle w:val="Style_2"/>
        <w:spacing w:after="0" w:before="0"/>
        <w:ind/>
        <w:jc w:val="center"/>
        <w:rPr>
          <w:color w:val="000000"/>
          <w:sz w:val="28"/>
        </w:rPr>
      </w:pPr>
    </w:p>
    <w:p w14:paraId="20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Настоящая Программа профилактики рисков причинения вреда (ущерба) охраняемым законом це</w:t>
      </w:r>
      <w:r>
        <w:rPr>
          <w:color w:val="000000"/>
          <w:sz w:val="28"/>
        </w:rPr>
        <w:t>нностям на 2025</w:t>
      </w:r>
      <w:r>
        <w:rPr>
          <w:color w:val="000000"/>
          <w:sz w:val="28"/>
        </w:rPr>
        <w:t xml:space="preserve"> год в рамках муниципального контроля в сфере благоустройства на территории </w:t>
      </w:r>
      <w:r>
        <w:rPr>
          <w:color w:val="000000"/>
          <w:sz w:val="28"/>
        </w:rPr>
        <w:t>Северного</w:t>
      </w:r>
      <w:r>
        <w:rPr>
          <w:color w:val="000000"/>
          <w:sz w:val="28"/>
        </w:rPr>
        <w:t xml:space="preserve"> сельского поселения (далее –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1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Настоящая Программа разработана и подлежит исполнению администрацией </w:t>
      </w:r>
      <w:r>
        <w:rPr>
          <w:color w:val="000000"/>
          <w:sz w:val="28"/>
        </w:rPr>
        <w:t>Северного</w:t>
      </w:r>
      <w:r>
        <w:rPr>
          <w:color w:val="000000"/>
          <w:sz w:val="28"/>
        </w:rPr>
        <w:t xml:space="preserve"> сельского поселения (далее по тексту – администрация).</w:t>
      </w:r>
    </w:p>
    <w:p w14:paraId="22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1. 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Программа.</w:t>
      </w:r>
    </w:p>
    <w:p w14:paraId="23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1.1. Вид муниципального контроля: муниципальный контроль в сфере благоустройства.</w:t>
      </w:r>
    </w:p>
    <w:p w14:paraId="24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1.2. Предметом муниципального контроля на территории муниципального образования является:</w:t>
      </w:r>
    </w:p>
    <w:p w14:paraId="25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соблюдение организациями и физическими лицами 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14:paraId="26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исполнение решений, принимаемых по результатам контрольных мероприятий.</w:t>
      </w:r>
    </w:p>
    <w:p w14:paraId="27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Администрацией за 12</w:t>
      </w:r>
      <w:r>
        <w:rPr>
          <w:color w:val="000000"/>
          <w:sz w:val="28"/>
        </w:rPr>
        <w:t xml:space="preserve"> месяцев 2024</w:t>
      </w:r>
      <w:r>
        <w:rPr>
          <w:color w:val="000000"/>
          <w:sz w:val="28"/>
        </w:rPr>
        <w:t xml:space="preserve"> года проведено </w:t>
      </w:r>
      <w:r>
        <w:rPr>
          <w:color w:val="C00000"/>
          <w:sz w:val="28"/>
        </w:rPr>
        <w:t>0</w:t>
      </w:r>
      <w:r>
        <w:rPr>
          <w:color w:val="000000"/>
          <w:sz w:val="28"/>
        </w:rPr>
        <w:t xml:space="preserve"> проверок соблюдения действующего законодательства Российской Федерации в указанной сфере.</w:t>
      </w:r>
    </w:p>
    <w:p w14:paraId="28000000">
      <w:pPr>
        <w:ind w:firstLine="567" w:left="0"/>
        <w:jc w:val="both"/>
        <w:rPr>
          <w:sz w:val="28"/>
        </w:rPr>
      </w:pPr>
      <w:r>
        <w:rPr>
          <w:sz w:val="28"/>
        </w:rPr>
        <w:t>В рамках профилактики</w:t>
      </w:r>
      <w:r>
        <w:rPr>
          <w:sz w:val="28"/>
        </w:rPr>
        <w:t xml:space="preserve"> рисков причинения вреда (ущерба) охраняемым законом ценностям</w:t>
      </w:r>
      <w:r>
        <w:rPr>
          <w:sz w:val="28"/>
        </w:rPr>
        <w:t xml:space="preserve"> администрацией в 202</w:t>
      </w:r>
      <w:r>
        <w:rPr>
          <w:sz w:val="28"/>
        </w:rPr>
        <w:t>4</w:t>
      </w:r>
      <w:r>
        <w:rPr>
          <w:sz w:val="28"/>
        </w:rPr>
        <w:t xml:space="preserve"> году осуществляются следующие мероприятия:</w:t>
      </w:r>
    </w:p>
    <w:p w14:paraId="29000000">
      <w:pPr>
        <w:numPr>
          <w:ilvl w:val="0"/>
          <w:numId w:val="1"/>
        </w:numPr>
        <w:tabs>
          <w:tab w:leader="none" w:pos="851" w:val="left"/>
        </w:tabs>
        <w:ind w:firstLine="567" w:left="0"/>
        <w:jc w:val="both"/>
        <w:rPr>
          <w:sz w:val="28"/>
        </w:rPr>
      </w:pPr>
      <w:r>
        <w:rPr>
          <w:sz w:val="28"/>
        </w:rPr>
        <w:t xml:space="preserve">размещение на официальном сайте администрации </w:t>
      </w:r>
      <w:r>
        <w:rPr>
          <w:sz w:val="28"/>
        </w:rPr>
        <w:t xml:space="preserve">в сети «Интернет» </w:t>
      </w:r>
      <w:r>
        <w:rPr>
          <w:sz w:val="28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</w:t>
      </w:r>
      <w:r>
        <w:rPr>
          <w:sz w:val="28"/>
        </w:rPr>
        <w:t>муниципального контроля</w:t>
      </w:r>
      <w:r>
        <w:rPr>
          <w:sz w:val="28"/>
        </w:rPr>
        <w:t>, а также текстов соответствующих нормативных правовых актов;</w:t>
      </w:r>
    </w:p>
    <w:p w14:paraId="2A000000">
      <w:pPr>
        <w:numPr>
          <w:ilvl w:val="0"/>
          <w:numId w:val="1"/>
        </w:numPr>
        <w:tabs>
          <w:tab w:leader="none" w:pos="851" w:val="left"/>
        </w:tabs>
        <w:ind w:firstLine="567" w:left="0"/>
        <w:jc w:val="both"/>
        <w:rPr>
          <w:sz w:val="28"/>
        </w:rPr>
      </w:pPr>
      <w:r>
        <w:rPr>
          <w:sz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2B000000">
      <w:pPr>
        <w:numPr>
          <w:ilvl w:val="0"/>
          <w:numId w:val="1"/>
        </w:numPr>
        <w:tabs>
          <w:tab w:leader="none" w:pos="851" w:val="left"/>
        </w:tabs>
        <w:ind w:firstLine="567" w:left="0"/>
        <w:jc w:val="both"/>
        <w:rPr>
          <w:sz w:val="28"/>
        </w:rPr>
      </w:pPr>
      <w:r>
        <w:rPr>
          <w:sz w:val="28"/>
        </w:rPr>
        <w:t xml:space="preserve">обеспечение регулярного обобщения практики осуществления муниципального контроля и размещение на официальном интернет-сайте </w:t>
      </w:r>
      <w:r>
        <w:rPr>
          <w:sz w:val="28"/>
        </w:rPr>
        <w:t>администрации соответствующих</w:t>
      </w:r>
      <w:r>
        <w:rPr>
          <w:sz w:val="28"/>
        </w:rPr>
        <w:t xml:space="preserve">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2C000000">
      <w:pPr>
        <w:numPr>
          <w:ilvl w:val="0"/>
          <w:numId w:val="1"/>
        </w:numPr>
        <w:tabs>
          <w:tab w:leader="none" w:pos="851" w:val="left"/>
        </w:tabs>
        <w:ind w:firstLine="567" w:left="0"/>
        <w:jc w:val="both"/>
        <w:rPr>
          <w:sz w:val="28"/>
        </w:rPr>
      </w:pPr>
      <w:r>
        <w:rPr>
          <w:sz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14:paraId="2D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За 12</w:t>
      </w:r>
      <w:r>
        <w:rPr>
          <w:color w:val="000000"/>
          <w:sz w:val="28"/>
        </w:rPr>
        <w:t xml:space="preserve"> месяцев 202</w:t>
      </w:r>
      <w:r>
        <w:rPr>
          <w:color w:val="000000"/>
          <w:sz w:val="28"/>
        </w:rPr>
        <w:t>4</w:t>
      </w:r>
      <w:r>
        <w:rPr>
          <w:color w:val="000000"/>
          <w:sz w:val="28"/>
        </w:rPr>
        <w:t xml:space="preserve"> года администрацией выдано </w:t>
      </w:r>
      <w:r>
        <w:rPr>
          <w:color w:val="C00000"/>
          <w:sz w:val="28"/>
        </w:rPr>
        <w:t>0</w:t>
      </w:r>
      <w:r>
        <w:rPr>
          <w:color w:val="000000"/>
          <w:sz w:val="28"/>
        </w:rPr>
        <w:t xml:space="preserve"> предостережений о недопустимости нарушения обязательных требований.</w:t>
      </w:r>
    </w:p>
    <w:p w14:paraId="2E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2. Цели и задачи реализации Программы</w:t>
      </w:r>
    </w:p>
    <w:p w14:paraId="2F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2.1. Целями профилактической работы являются:</w:t>
      </w:r>
    </w:p>
    <w:p w14:paraId="30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1) стимулирование добросовестного соблюдения обязательных требований всеми контролируемыми лицами;</w:t>
      </w:r>
    </w:p>
    <w:p w14:paraId="31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32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33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34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5) снижение административной нагрузки на контролируемых лиц;</w:t>
      </w:r>
    </w:p>
    <w:p w14:paraId="35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6) снижение размера ущерба, причиняемого охраняемым законом ценностям.</w:t>
      </w:r>
    </w:p>
    <w:p w14:paraId="36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2.2. Задачами профилактической работы являются:</w:t>
      </w:r>
    </w:p>
    <w:p w14:paraId="37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1) укрепление системы профилактики нарушений обязательных требований;</w:t>
      </w:r>
    </w:p>
    <w:p w14:paraId="38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39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3A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3B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В положении о виде контроля самостоятельная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14:paraId="3C000000">
      <w:pPr>
        <w:pStyle w:val="Style_2"/>
        <w:spacing w:after="0" w:before="0"/>
        <w:ind w:firstLine="709" w:left="0"/>
        <w:jc w:val="both"/>
        <w:rPr>
          <w:color w:val="000000"/>
          <w:sz w:val="28"/>
        </w:rPr>
      </w:pPr>
      <w:r>
        <w:rPr>
          <w:color w:val="000000"/>
          <w:sz w:val="28"/>
        </w:rPr>
        <w:t>3. Перечень профилактических мероприятий, сроки (периодичность) их проведения</w:t>
      </w:r>
    </w:p>
    <w:p w14:paraId="3D000000">
      <w:pPr>
        <w:pStyle w:val="Style_2"/>
        <w:spacing w:after="0" w:before="0"/>
        <w:ind w:firstLine="709" w:left="0"/>
        <w:jc w:val="both"/>
        <w:rPr>
          <w:color w:val="000000"/>
        </w:rPr>
      </w:pPr>
    </w:p>
    <w:tbl>
      <w:tblPr>
        <w:tblStyle w:val="Style_3"/>
        <w:tblLayout w:type="fixed"/>
        <w:tblCellMar>
          <w:left w:type="dxa" w:w="0"/>
          <w:right w:type="dxa" w:w="0"/>
        </w:tblCellMar>
      </w:tblPr>
      <w:tblGrid>
        <w:gridCol w:w="802"/>
        <w:gridCol w:w="4509"/>
        <w:gridCol w:w="2169"/>
        <w:gridCol w:w="2420"/>
      </w:tblGrid>
      <w:tr>
        <w:trPr>
          <w:trHeight w:hRule="atLeast" w:val="1125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№ п/п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Наименование мероприятия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Срок реализации мероприятия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Ответственное должностное лицо</w:t>
            </w:r>
          </w:p>
        </w:tc>
      </w:tr>
      <w:tr>
        <w:trPr>
          <w:trHeight w:hRule="atLeast" w:val="787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1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00000">
            <w:pPr>
              <w:pStyle w:val="Style_2"/>
              <w:spacing w:after="0" w:before="0"/>
              <w:ind/>
              <w:jc w:val="both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Информирование.</w:t>
            </w:r>
          </w:p>
          <w:p w14:paraId="44000000">
            <w:pPr>
              <w:pStyle w:val="Style_2"/>
              <w:spacing w:after="0" w:before="0"/>
              <w:ind/>
              <w:jc w:val="both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или в печатном издании муниципального образования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Постоянно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>
        <w:trPr>
          <w:trHeight w:hRule="atLeast" w:val="787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00000">
            <w:pPr>
              <w:ind/>
              <w:jc w:val="center"/>
              <w:rPr>
                <w:sz w:val="23"/>
              </w:rPr>
            </w:pPr>
            <w:r>
              <w:rPr>
                <w:sz w:val="23"/>
              </w:rPr>
              <w:t>2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Обобщение правоприменительной практики</w:t>
            </w:r>
          </w:p>
          <w:p w14:paraId="49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4A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r>
              <w:rPr>
                <w:rFonts w:ascii="Times New Roman" w:hAnsi="Times New Roman"/>
                <w:sz w:val="23"/>
              </w:rPr>
              <w:t>муниципального контроля</w:t>
            </w:r>
            <w:r>
              <w:rPr>
                <w:rFonts w:ascii="Times New Roman" w:hAnsi="Times New Roman"/>
                <w:sz w:val="23"/>
              </w:rPr>
              <w:t>, который утверждается руководителем контрольного органа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00000">
            <w:pPr>
              <w:pStyle w:val="Style_5"/>
              <w:ind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ежегодно не позднее 30 января года, следующего за годом обобщения правоприменительной практики.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00000">
            <w:pPr>
              <w:ind/>
              <w:jc w:val="center"/>
              <w:rPr>
                <w:sz w:val="23"/>
              </w:rPr>
            </w:pPr>
            <w:r>
              <w:rPr>
                <w:sz w:val="23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>
        <w:trPr>
          <w:trHeight w:hRule="atLeast" w:val="787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00000">
            <w:pPr>
              <w:widowControl w:val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3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Объявление предостережения</w:t>
            </w:r>
          </w:p>
          <w:p w14:paraId="4F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00000">
            <w:pPr>
              <w:widowControl w:val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  <w:highlight w:val="white"/>
              </w:rPr>
              <w:t>По мере появления оснований, предусмотренных законодательством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00000">
            <w:pPr>
              <w:widowControl w:val="0"/>
              <w:ind/>
              <w:jc w:val="center"/>
              <w:rPr>
                <w:color w:val="000000"/>
                <w:sz w:val="23"/>
              </w:rPr>
            </w:pPr>
            <w:r>
              <w:rPr>
                <w:sz w:val="23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>
        <w:trPr>
          <w:trHeight w:hRule="atLeast" w:val="787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4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00000">
            <w:pPr>
              <w:pStyle w:val="Style_2"/>
              <w:spacing w:after="0" w:before="0"/>
              <w:ind/>
              <w:jc w:val="both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Консультирование.</w:t>
            </w:r>
          </w:p>
          <w:p w14:paraId="54000000">
            <w:pPr>
              <w:pStyle w:val="Style_2"/>
              <w:spacing w:after="0" w:before="0"/>
              <w:ind/>
              <w:jc w:val="both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Постоянно по обращениям контролируемых лиц и их представителей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00000">
            <w:pPr>
              <w:pStyle w:val="Style_2"/>
              <w:spacing w:after="0" w:before="0"/>
              <w:ind/>
              <w:jc w:val="center"/>
              <w:rPr>
                <w:color w:val="000000"/>
                <w:sz w:val="23"/>
              </w:rPr>
            </w:pPr>
            <w:r>
              <w:rPr>
                <w:color w:val="000000"/>
                <w:sz w:val="23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>
        <w:trPr>
          <w:trHeight w:hRule="atLeast" w:val="787"/>
        </w:trPr>
        <w:tc>
          <w:tcPr>
            <w:tcW w:type="dxa" w:w="8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00000">
            <w:pPr>
              <w:widowControl w:val="0"/>
              <w:ind/>
              <w:jc w:val="center"/>
              <w:rPr>
                <w:sz w:val="23"/>
              </w:rPr>
            </w:pPr>
            <w:r>
              <w:rPr>
                <w:sz w:val="23"/>
              </w:rPr>
              <w:t>5</w:t>
            </w:r>
          </w:p>
        </w:tc>
        <w:tc>
          <w:tcPr>
            <w:tcW w:type="dxa" w:w="45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00000">
            <w:pPr>
              <w:pStyle w:val="Style_4"/>
              <w:ind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Профилактический визит</w:t>
            </w:r>
          </w:p>
        </w:tc>
        <w:tc>
          <w:tcPr>
            <w:tcW w:type="dxa" w:w="216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00000">
            <w:pPr>
              <w:ind/>
              <w:jc w:val="center"/>
              <w:rPr>
                <w:sz w:val="23"/>
              </w:rPr>
            </w:pPr>
            <w:r>
              <w:rPr>
                <w:sz w:val="23"/>
              </w:rPr>
              <w:t>Один раз в год</w:t>
            </w:r>
          </w:p>
        </w:tc>
        <w:tc>
          <w:tcPr>
            <w:tcW w:type="dxa" w:w="24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00000">
            <w:pPr>
              <w:widowControl w:val="0"/>
              <w:ind/>
              <w:jc w:val="center"/>
              <w:rPr>
                <w:sz w:val="23"/>
              </w:rPr>
            </w:pPr>
            <w:r>
              <w:rPr>
                <w:sz w:val="23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5B000000">
      <w:pPr>
        <w:pStyle w:val="Style_6"/>
        <w:spacing w:after="0" w:before="0"/>
        <w:ind w:firstLine="709" w:left="0"/>
        <w:jc w:val="both"/>
        <w:rPr>
          <w:color w:val="000000"/>
        </w:rPr>
      </w:pPr>
    </w:p>
    <w:p w14:paraId="5C000000">
      <w:pPr>
        <w:pStyle w:val="Style_6"/>
        <w:spacing w:after="0" w:before="0"/>
        <w:ind w:firstLine="709" w:left="0"/>
        <w:jc w:val="both"/>
        <w:rPr>
          <w:color w:val="000000"/>
        </w:rPr>
      </w:pPr>
      <w:r>
        <w:rPr>
          <w:color w:val="000000"/>
        </w:rPr>
        <w:t>4. Показатели результативности и эффективности Программы</w:t>
      </w:r>
    </w:p>
    <w:tbl>
      <w:tblPr>
        <w:tblStyle w:val="Style_3"/>
        <w:tblLayout w:type="fixed"/>
        <w:tblCellMar>
          <w:left w:type="dxa" w:w="0"/>
          <w:right w:type="dxa" w:w="0"/>
        </w:tblCellMar>
      </w:tblPr>
      <w:tblGrid>
        <w:gridCol w:w="691"/>
        <w:gridCol w:w="5709"/>
        <w:gridCol w:w="3201"/>
      </w:tblGrid>
      <w:tr>
        <w:trPr>
          <w:trHeight w:hRule="atLeast" w:val="204"/>
        </w:trPr>
        <w:tc>
          <w:tcPr>
            <w:tcW w:type="dxa" w:w="6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№ п/п</w:t>
            </w:r>
          </w:p>
        </w:tc>
        <w:tc>
          <w:tcPr>
            <w:tcW w:type="dxa" w:w="57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Наименование показателя</w:t>
            </w:r>
          </w:p>
        </w:tc>
        <w:tc>
          <w:tcPr>
            <w:tcW w:type="dxa" w:w="32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Величина</w:t>
            </w:r>
          </w:p>
        </w:tc>
      </w:tr>
      <w:tr>
        <w:trPr>
          <w:trHeight w:hRule="atLeast" w:val="787"/>
        </w:trPr>
        <w:tc>
          <w:tcPr>
            <w:tcW w:type="dxa" w:w="6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1</w:t>
            </w:r>
          </w:p>
        </w:tc>
        <w:tc>
          <w:tcPr>
            <w:tcW w:type="dxa" w:w="57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type="dxa" w:w="32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100%</w:t>
            </w:r>
          </w:p>
        </w:tc>
      </w:tr>
      <w:tr>
        <w:trPr>
          <w:trHeight w:hRule="atLeast" w:val="441"/>
        </w:trPr>
        <w:tc>
          <w:tcPr>
            <w:tcW w:type="dxa" w:w="6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2</w:t>
            </w:r>
          </w:p>
        </w:tc>
        <w:tc>
          <w:tcPr>
            <w:tcW w:type="dxa" w:w="57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type="dxa" w:w="32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Исполнено / Не исполнено</w:t>
            </w:r>
          </w:p>
        </w:tc>
      </w:tr>
      <w:tr>
        <w:trPr>
          <w:trHeight w:hRule="atLeast" w:val="441"/>
        </w:trPr>
        <w:tc>
          <w:tcPr>
            <w:tcW w:type="dxa" w:w="6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3.</w:t>
            </w:r>
          </w:p>
        </w:tc>
        <w:tc>
          <w:tcPr>
            <w:tcW w:type="dxa" w:w="57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type="dxa" w:w="32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20% и более</w:t>
            </w:r>
          </w:p>
        </w:tc>
      </w:tr>
      <w:tr>
        <w:trPr>
          <w:trHeight w:hRule="atLeast" w:val="441"/>
        </w:trPr>
        <w:tc>
          <w:tcPr>
            <w:tcW w:type="dxa" w:w="69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4.</w:t>
            </w:r>
          </w:p>
        </w:tc>
        <w:tc>
          <w:tcPr>
            <w:tcW w:type="dxa" w:w="57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00000">
            <w:pPr>
              <w:pStyle w:val="Style_6"/>
              <w:spacing w:after="0" w:before="0"/>
              <w:ind/>
              <w:jc w:val="both"/>
              <w:rPr>
                <w:sz w:val="23"/>
              </w:rPr>
            </w:pPr>
            <w:r>
              <w:rPr>
                <w:color w:val="000000"/>
                <w:sz w:val="23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</w:tc>
        <w:tc>
          <w:tcPr>
            <w:tcW w:type="dxa" w:w="32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00000">
            <w:pPr>
              <w:pStyle w:val="Style_6"/>
              <w:spacing w:after="0" w:before="0"/>
              <w:ind/>
              <w:jc w:val="center"/>
              <w:rPr>
                <w:sz w:val="23"/>
              </w:rPr>
            </w:pPr>
            <w:r>
              <w:rPr>
                <w:color w:val="000000"/>
                <w:sz w:val="23"/>
              </w:rPr>
              <w:t>100%</w:t>
            </w:r>
          </w:p>
        </w:tc>
      </w:tr>
    </w:tbl>
    <w:p w14:paraId="6C000000"/>
    <w:sectPr>
      <w:pgSz w:h="16838" w:orient="portrait" w:w="11906"/>
      <w:pgMar w:bottom="567" w:footer="709" w:gutter="0" w:header="709" w:left="1701" w:right="567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927"/>
      </w:pPr>
      <w:rPr>
        <w:sz w:val="20"/>
      </w:rPr>
    </w:lvl>
    <w:lvl w:ilvl="1">
      <w:start w:val="1"/>
      <w:numFmt w:val="lowerLetter"/>
      <w:lvlText w:val="%2."/>
      <w:lvlJc w:val="left"/>
      <w:pPr>
        <w:ind w:hanging="360" w:left="1647"/>
      </w:pPr>
    </w:lvl>
    <w:lvl w:ilvl="2">
      <w:start w:val="1"/>
      <w:numFmt w:val="lowerRoman"/>
      <w:lvlText w:val="%3."/>
      <w:lvlJc w:val="right"/>
      <w:pPr>
        <w:ind w:hanging="180" w:left="2367"/>
      </w:pPr>
    </w:lvl>
    <w:lvl w:ilvl="3">
      <w:start w:val="1"/>
      <w:numFmt w:val="decimal"/>
      <w:lvlText w:val="%4."/>
      <w:lvlJc w:val="left"/>
      <w:pPr>
        <w:ind w:hanging="360" w:left="3087"/>
      </w:pPr>
    </w:lvl>
    <w:lvl w:ilvl="4">
      <w:start w:val="1"/>
      <w:numFmt w:val="lowerLetter"/>
      <w:lvlText w:val="%5."/>
      <w:lvlJc w:val="left"/>
      <w:pPr>
        <w:ind w:hanging="360" w:left="3807"/>
      </w:pPr>
    </w:lvl>
    <w:lvl w:ilvl="5">
      <w:start w:val="1"/>
      <w:numFmt w:val="lowerRoman"/>
      <w:lvlText w:val="%6."/>
      <w:lvlJc w:val="right"/>
      <w:pPr>
        <w:ind w:hanging="180" w:left="4527"/>
      </w:pPr>
    </w:lvl>
    <w:lvl w:ilvl="6">
      <w:start w:val="1"/>
      <w:numFmt w:val="decimal"/>
      <w:lvlText w:val="%7."/>
      <w:lvlJc w:val="left"/>
      <w:pPr>
        <w:ind w:hanging="360" w:left="5247"/>
      </w:pPr>
    </w:lvl>
    <w:lvl w:ilvl="7">
      <w:start w:val="1"/>
      <w:numFmt w:val="lowerLetter"/>
      <w:lvlText w:val="%8."/>
      <w:lvlJc w:val="left"/>
      <w:pPr>
        <w:ind w:hanging="360" w:left="5967"/>
      </w:pPr>
    </w:lvl>
    <w:lvl w:ilvl="8">
      <w:start w:val="1"/>
      <w:numFmt w:val="lowerRoman"/>
      <w:lvlText w:val="%9."/>
      <w:lvlJc w:val="right"/>
      <w:pPr>
        <w:ind w:hanging="180" w:left="6687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7" w:type="paragraph">
    <w:name w:val="Normal"/>
    <w:link w:val="Style_7_ch"/>
    <w:uiPriority w:val="0"/>
    <w:qFormat/>
    <w:rPr>
      <w:sz w:val="24"/>
    </w:rPr>
  </w:style>
  <w:style w:default="1" w:styleId="Style_7_ch" w:type="character">
    <w:name w:val="Normal"/>
    <w:link w:val="Style_7"/>
    <w:rPr>
      <w:sz w:val="24"/>
    </w:rPr>
  </w:style>
  <w:style w:styleId="Style_8" w:type="paragraph">
    <w:name w:val=" Знак Знак"/>
    <w:basedOn w:val="Style_7"/>
    <w:link w:val="Style_8_ch"/>
    <w:pPr>
      <w:spacing w:after="160" w:line="240" w:lineRule="exact"/>
      <w:ind/>
    </w:pPr>
    <w:rPr>
      <w:rFonts w:ascii="Verdana" w:hAnsi="Verdana"/>
    </w:rPr>
  </w:style>
  <w:style w:styleId="Style_8_ch" w:type="character">
    <w:name w:val=" Знак Знак"/>
    <w:basedOn w:val="Style_7_ch"/>
    <w:link w:val="Style_8"/>
    <w:rPr>
      <w:rFonts w:ascii="Verdana" w:hAnsi="Verdana"/>
    </w:rPr>
  </w:style>
  <w:style w:styleId="Style_6" w:type="paragraph">
    <w:name w:val="Normal (Web)"/>
    <w:basedOn w:val="Style_7"/>
    <w:link w:val="Style_6_ch"/>
    <w:pPr>
      <w:spacing w:afterAutospacing="on" w:beforeAutospacing="on"/>
      <w:ind/>
    </w:pPr>
  </w:style>
  <w:style w:styleId="Style_6_ch" w:type="character">
    <w:name w:val="Normal (Web)"/>
    <w:basedOn w:val="Style_7_ch"/>
    <w:link w:val="Style_6"/>
  </w:style>
  <w:style w:styleId="Style_9" w:type="paragraph">
    <w:name w:val="toc 2"/>
    <w:next w:val="Style_7"/>
    <w:link w:val="Style_9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toc 4"/>
    <w:next w:val="Style_7"/>
    <w:link w:val="Style_10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0_ch" w:type="character">
    <w:name w:val="toc 4"/>
    <w:link w:val="Style_10"/>
    <w:rPr>
      <w:rFonts w:ascii="XO Thames" w:hAnsi="XO Thames"/>
      <w:sz w:val="28"/>
    </w:rPr>
  </w:style>
  <w:style w:styleId="Style_11" w:type="paragraph">
    <w:name w:val="toc 6"/>
    <w:next w:val="Style_7"/>
    <w:link w:val="Style_11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7"/>
    <w:link w:val="Style_12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Body Text"/>
    <w:basedOn w:val="Style_7"/>
    <w:link w:val="Style_13_ch"/>
    <w:pPr>
      <w:ind/>
      <w:jc w:val="center"/>
    </w:pPr>
    <w:rPr>
      <w:b w:val="1"/>
      <w:sz w:val="28"/>
    </w:rPr>
  </w:style>
  <w:style w:styleId="Style_13_ch" w:type="character">
    <w:name w:val="Body Text"/>
    <w:basedOn w:val="Style_7_ch"/>
    <w:link w:val="Style_13"/>
    <w:rPr>
      <w:b w:val="1"/>
      <w:sz w:val="28"/>
    </w:rPr>
  </w:style>
  <w:style w:styleId="Style_14" w:type="paragraph">
    <w:name w:val="heading 3"/>
    <w:basedOn w:val="Style_7"/>
    <w:link w:val="Style_14_ch"/>
    <w:uiPriority w:val="9"/>
    <w:qFormat/>
    <w:pPr>
      <w:spacing w:afterAutospacing="on" w:beforeAutospacing="on"/>
      <w:ind/>
      <w:outlineLvl w:val="2"/>
    </w:pPr>
    <w:rPr>
      <w:b w:val="1"/>
      <w:sz w:val="27"/>
    </w:rPr>
  </w:style>
  <w:style w:styleId="Style_14_ch" w:type="character">
    <w:name w:val="heading 3"/>
    <w:basedOn w:val="Style_7_ch"/>
    <w:link w:val="Style_14"/>
    <w:rPr>
      <w:b w:val="1"/>
      <w:sz w:val="27"/>
    </w:rPr>
  </w:style>
  <w:style w:styleId="Style_2" w:type="paragraph">
    <w:name w:val="default"/>
    <w:basedOn w:val="Style_7"/>
    <w:link w:val="Style_2_ch"/>
    <w:pPr>
      <w:spacing w:afterAutospacing="on" w:beforeAutospacing="on"/>
      <w:ind/>
    </w:pPr>
  </w:style>
  <w:style w:styleId="Style_2_ch" w:type="character">
    <w:name w:val="default"/>
    <w:basedOn w:val="Style_7_ch"/>
    <w:link w:val="Style_2"/>
  </w:style>
  <w:style w:styleId="Style_5" w:type="paragraph">
    <w:name w:val="HTML Preformatted"/>
    <w:basedOn w:val="Style_7"/>
    <w:link w:val="Style_5_ch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/>
    </w:pPr>
    <w:rPr>
      <w:rFonts w:ascii="Courier New" w:hAnsi="Courier New"/>
      <w:sz w:val="20"/>
    </w:rPr>
  </w:style>
  <w:style w:styleId="Style_5_ch" w:type="character">
    <w:name w:val="HTML Preformatted"/>
    <w:basedOn w:val="Style_7_ch"/>
    <w:link w:val="Style_5"/>
    <w:rPr>
      <w:rFonts w:ascii="Courier New" w:hAnsi="Courier New"/>
      <w:sz w:val="20"/>
    </w:rPr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16" w:type="paragraph">
    <w:name w:val="Balloon Text"/>
    <w:basedOn w:val="Style_7"/>
    <w:link w:val="Style_16_ch"/>
    <w:rPr>
      <w:rFonts w:ascii="Tahoma" w:hAnsi="Tahoma"/>
      <w:sz w:val="16"/>
    </w:rPr>
  </w:style>
  <w:style w:styleId="Style_16_ch" w:type="character">
    <w:name w:val="Balloon Text"/>
    <w:basedOn w:val="Style_7_ch"/>
    <w:link w:val="Style_16"/>
    <w:rPr>
      <w:rFonts w:ascii="Tahoma" w:hAnsi="Tahoma"/>
      <w:sz w:val="16"/>
    </w:rPr>
  </w:style>
  <w:style w:styleId="Style_17" w:type="paragraph">
    <w:name w:val="Body Text Indent 2"/>
    <w:basedOn w:val="Style_7"/>
    <w:link w:val="Style_17_ch"/>
    <w:pPr>
      <w:spacing w:line="228" w:lineRule="auto"/>
      <w:ind w:firstLine="709" w:left="0"/>
      <w:jc w:val="both"/>
    </w:pPr>
  </w:style>
  <w:style w:styleId="Style_17_ch" w:type="character">
    <w:name w:val="Body Text Indent 2"/>
    <w:basedOn w:val="Style_7_ch"/>
    <w:link w:val="Style_17"/>
  </w:style>
  <w:style w:styleId="Style_18" w:type="paragraph">
    <w:name w:val="Strong"/>
    <w:link w:val="Style_18_ch"/>
    <w:rPr>
      <w:b w:val="1"/>
    </w:rPr>
  </w:style>
  <w:style w:styleId="Style_18_ch" w:type="character">
    <w:name w:val="Strong"/>
    <w:link w:val="Style_18"/>
    <w:rPr>
      <w:b w:val="1"/>
    </w:rPr>
  </w:style>
  <w:style w:styleId="Style_4" w:type="paragraph">
    <w:name w:val="ConsPlusNormal"/>
    <w:link w:val="Style_4_ch"/>
    <w:pPr>
      <w:widowControl w:val="0"/>
      <w:ind/>
    </w:pPr>
    <w:rPr>
      <w:rFonts w:ascii="Calibri" w:hAnsi="Calibri"/>
      <w:sz w:val="22"/>
    </w:rPr>
  </w:style>
  <w:style w:styleId="Style_4_ch" w:type="character">
    <w:name w:val="ConsPlusNormal"/>
    <w:link w:val="Style_4"/>
    <w:rPr>
      <w:rFonts w:ascii="Calibri" w:hAnsi="Calibri"/>
      <w:sz w:val="22"/>
    </w:rPr>
  </w:style>
  <w:style w:styleId="Style_19" w:type="paragraph">
    <w:name w:val="toc 3"/>
    <w:next w:val="Style_7"/>
    <w:link w:val="Style_1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20" w:type="paragraph">
    <w:name w:val="header"/>
    <w:basedOn w:val="Style_7"/>
    <w:link w:val="Style_20_ch"/>
    <w:pPr>
      <w:tabs>
        <w:tab w:leader="none" w:pos="4677" w:val="center"/>
        <w:tab w:leader="none" w:pos="9355" w:val="right"/>
      </w:tabs>
      <w:ind/>
    </w:pPr>
  </w:style>
  <w:style w:styleId="Style_20_ch" w:type="character">
    <w:name w:val="header"/>
    <w:basedOn w:val="Style_7_ch"/>
    <w:link w:val="Style_20"/>
  </w:style>
  <w:style w:styleId="Style_21" w:type="paragraph">
    <w:name w:val="heading 5"/>
    <w:next w:val="Style_7"/>
    <w:link w:val="Style_2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1_ch" w:type="character">
    <w:name w:val="heading 5"/>
    <w:link w:val="Style_21"/>
    <w:rPr>
      <w:rFonts w:ascii="XO Thames" w:hAnsi="XO Thames"/>
      <w:b w:val="1"/>
      <w:sz w:val="22"/>
    </w:rPr>
  </w:style>
  <w:style w:styleId="Style_22" w:type="paragraph">
    <w:name w:val="heading 1"/>
    <w:next w:val="Style_7"/>
    <w:link w:val="Style_2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2_ch" w:type="character">
    <w:name w:val="heading 1"/>
    <w:link w:val="Style_22"/>
    <w:rPr>
      <w:rFonts w:ascii="XO Thames" w:hAnsi="XO Thames"/>
      <w:b w:val="1"/>
      <w:sz w:val="32"/>
    </w:rPr>
  </w:style>
  <w:style w:styleId="Style_23" w:type="paragraph">
    <w:name w:val="Hyperlink"/>
    <w:link w:val="Style_23_ch"/>
    <w:rPr>
      <w:color w:val="0000FF"/>
      <w:u w:val="single"/>
    </w:rPr>
  </w:style>
  <w:style w:styleId="Style_23_ch" w:type="character">
    <w:name w:val="Hyperlink"/>
    <w:link w:val="Style_23"/>
    <w:rPr>
      <w:color w:val="0000FF"/>
      <w:u w:val="single"/>
    </w:rPr>
  </w:style>
  <w:style w:styleId="Style_24" w:type="paragraph">
    <w:name w:val="Footnote"/>
    <w:link w:val="Style_24_ch"/>
    <w:pPr>
      <w:ind w:firstLine="851" w:left="0"/>
      <w:jc w:val="both"/>
    </w:pPr>
    <w:rPr>
      <w:rFonts w:ascii="XO Thames" w:hAnsi="XO Thames"/>
      <w:sz w:val="22"/>
    </w:rPr>
  </w:style>
  <w:style w:styleId="Style_24_ch" w:type="character">
    <w:name w:val="Footnote"/>
    <w:link w:val="Style_24"/>
    <w:rPr>
      <w:rFonts w:ascii="XO Thames" w:hAnsi="XO Thames"/>
      <w:sz w:val="22"/>
    </w:rPr>
  </w:style>
  <w:style w:styleId="Style_25" w:type="paragraph">
    <w:name w:val="toc 1"/>
    <w:next w:val="Style_7"/>
    <w:link w:val="Style_2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5_ch" w:type="character">
    <w:name w:val="toc 1"/>
    <w:link w:val="Style_25"/>
    <w:rPr>
      <w:rFonts w:ascii="XO Thames" w:hAnsi="XO Thames"/>
      <w:b w:val="1"/>
      <w:sz w:val="28"/>
    </w:rPr>
  </w:style>
  <w:style w:styleId="Style_26" w:type="paragraph">
    <w:name w:val="Header and Footer"/>
    <w:link w:val="Style_26_ch"/>
    <w:pPr>
      <w:spacing w:line="240" w:lineRule="auto"/>
      <w:ind/>
      <w:jc w:val="both"/>
    </w:pPr>
    <w:rPr>
      <w:rFonts w:ascii="XO Thames" w:hAnsi="XO Thames"/>
      <w:sz w:val="20"/>
    </w:rPr>
  </w:style>
  <w:style w:styleId="Style_26_ch" w:type="character">
    <w:name w:val="Header and Footer"/>
    <w:link w:val="Style_26"/>
    <w:rPr>
      <w:rFonts w:ascii="XO Thames" w:hAnsi="XO Thames"/>
      <w:sz w:val="20"/>
    </w:rPr>
  </w:style>
  <w:style w:styleId="Style_27" w:type="paragraph">
    <w:name w:val="toc 9"/>
    <w:next w:val="Style_7"/>
    <w:link w:val="Style_27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7_ch" w:type="character">
    <w:name w:val="toc 9"/>
    <w:link w:val="Style_27"/>
    <w:rPr>
      <w:rFonts w:ascii="XO Thames" w:hAnsi="XO Thames"/>
      <w:sz w:val="28"/>
    </w:rPr>
  </w:style>
  <w:style w:styleId="Style_28" w:type="paragraph">
    <w:name w:val="Body Text Indent"/>
    <w:basedOn w:val="Style_7"/>
    <w:link w:val="Style_28_ch"/>
    <w:pPr>
      <w:ind w:firstLine="567" w:left="0"/>
      <w:jc w:val="both"/>
    </w:pPr>
  </w:style>
  <w:style w:styleId="Style_28_ch" w:type="character">
    <w:name w:val="Body Text Indent"/>
    <w:basedOn w:val="Style_7_ch"/>
    <w:link w:val="Style_28"/>
  </w:style>
  <w:style w:styleId="Style_29" w:type="paragraph">
    <w:name w:val="toc 8"/>
    <w:next w:val="Style_7"/>
    <w:link w:val="Style_2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9_ch" w:type="character">
    <w:name w:val="toc 8"/>
    <w:link w:val="Style_29"/>
    <w:rPr>
      <w:rFonts w:ascii="XO Thames" w:hAnsi="XO Thames"/>
      <w:sz w:val="28"/>
    </w:rPr>
  </w:style>
  <w:style w:styleId="Style_30" w:type="paragraph">
    <w:name w:val="footer"/>
    <w:basedOn w:val="Style_7"/>
    <w:link w:val="Style_30_ch"/>
    <w:pPr>
      <w:tabs>
        <w:tab w:leader="none" w:pos="4677" w:val="center"/>
        <w:tab w:leader="none" w:pos="9355" w:val="right"/>
      </w:tabs>
      <w:ind/>
    </w:pPr>
  </w:style>
  <w:style w:styleId="Style_30_ch" w:type="character">
    <w:name w:val="footer"/>
    <w:basedOn w:val="Style_7_ch"/>
    <w:link w:val="Style_30"/>
  </w:style>
  <w:style w:styleId="Style_31" w:type="paragraph">
    <w:name w:val="toc 5"/>
    <w:next w:val="Style_7"/>
    <w:link w:val="Style_3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1_ch" w:type="character">
    <w:name w:val="toc 5"/>
    <w:link w:val="Style_31"/>
    <w:rPr>
      <w:rFonts w:ascii="XO Thames" w:hAnsi="XO Thames"/>
      <w:sz w:val="28"/>
    </w:rPr>
  </w:style>
  <w:style w:styleId="Style_1" w:type="paragraph">
    <w:name w:val="normal"/>
    <w:link w:val="Style_1_ch"/>
    <w:pPr>
      <w:spacing w:after="200" w:line="276" w:lineRule="auto"/>
      <w:ind/>
    </w:pPr>
    <w:rPr>
      <w:rFonts w:ascii="Calibri" w:hAnsi="Calibri"/>
      <w:sz w:val="22"/>
    </w:rPr>
  </w:style>
  <w:style w:styleId="Style_1_ch" w:type="character">
    <w:name w:val="normal"/>
    <w:link w:val="Style_1"/>
    <w:rPr>
      <w:rFonts w:ascii="Calibri" w:hAnsi="Calibri"/>
      <w:sz w:val="22"/>
    </w:rPr>
  </w:style>
  <w:style w:styleId="Style_32" w:type="paragraph">
    <w:name w:val="msobodytext_mr_css_attr"/>
    <w:basedOn w:val="Style_7"/>
    <w:link w:val="Style_32_ch"/>
    <w:pPr>
      <w:spacing w:afterAutospacing="on" w:beforeAutospacing="on"/>
      <w:ind/>
    </w:pPr>
  </w:style>
  <w:style w:styleId="Style_32_ch" w:type="character">
    <w:name w:val="msobodytext_mr_css_attr"/>
    <w:basedOn w:val="Style_7_ch"/>
    <w:link w:val="Style_32"/>
  </w:style>
  <w:style w:styleId="Style_33" w:type="paragraph">
    <w:name w:val="Plain Text"/>
    <w:basedOn w:val="Style_7"/>
    <w:link w:val="Style_33_ch"/>
    <w:rPr>
      <w:rFonts w:ascii="Courier New" w:hAnsi="Courier New"/>
      <w:sz w:val="20"/>
    </w:rPr>
  </w:style>
  <w:style w:styleId="Style_33_ch" w:type="character">
    <w:name w:val="Plain Text"/>
    <w:basedOn w:val="Style_7_ch"/>
    <w:link w:val="Style_33"/>
    <w:rPr>
      <w:rFonts w:ascii="Courier New" w:hAnsi="Courier New"/>
      <w:sz w:val="20"/>
    </w:rPr>
  </w:style>
  <w:style w:styleId="Style_34" w:type="paragraph">
    <w:name w:val="Subtitle"/>
    <w:next w:val="Style_7"/>
    <w:link w:val="Style_3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4_ch" w:type="character">
    <w:name w:val="Subtitle"/>
    <w:link w:val="Style_34"/>
    <w:rPr>
      <w:rFonts w:ascii="XO Thames" w:hAnsi="XO Thames"/>
      <w:i w:val="1"/>
      <w:sz w:val="24"/>
    </w:rPr>
  </w:style>
  <w:style w:styleId="Style_35" w:type="paragraph">
    <w:name w:val="Title"/>
    <w:next w:val="Style_7"/>
    <w:link w:val="Style_3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5_ch" w:type="character">
    <w:name w:val="Title"/>
    <w:link w:val="Style_35"/>
    <w:rPr>
      <w:rFonts w:ascii="XO Thames" w:hAnsi="XO Thames"/>
      <w:b w:val="1"/>
      <w:caps w:val="1"/>
      <w:sz w:val="40"/>
    </w:rPr>
  </w:style>
  <w:style w:styleId="Style_36" w:type="paragraph">
    <w:name w:val="heading 4"/>
    <w:next w:val="Style_7"/>
    <w:link w:val="Style_36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6_ch" w:type="character">
    <w:name w:val="heading 4"/>
    <w:link w:val="Style_36"/>
    <w:rPr>
      <w:rFonts w:ascii="XO Thames" w:hAnsi="XO Thames"/>
      <w:b w:val="1"/>
      <w:sz w:val="24"/>
    </w:rPr>
  </w:style>
  <w:style w:styleId="Style_37" w:type="paragraph">
    <w:name w:val="heading 2"/>
    <w:next w:val="Style_7"/>
    <w:link w:val="Style_37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7_ch" w:type="character">
    <w:name w:val="heading 2"/>
    <w:link w:val="Style_37"/>
    <w:rPr>
      <w:rFonts w:ascii="XO Thames" w:hAnsi="XO Thames"/>
      <w:b w:val="1"/>
      <w:sz w:val="28"/>
    </w:rPr>
  </w:style>
  <w:style w:styleId="Style_38" w:type="paragraph">
    <w:name w:val="js-phone-number"/>
    <w:link w:val="Style_38_ch"/>
  </w:style>
  <w:style w:styleId="Style_38_ch" w:type="character">
    <w:name w:val="js-phone-number"/>
    <w:link w:val="Style_38"/>
  </w:style>
  <w:style w:styleId="Style_39" w:type="table">
    <w:name w:val="Table Grid"/>
    <w:basedOn w:val="Style_3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2024-12-18T05:37:11Z</dcterms:modified>
</cp:coreProperties>
</file>